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04255" w14:textId="77777777" w:rsidR="00301BB1" w:rsidRPr="00301BB1" w:rsidRDefault="00301BB1" w:rsidP="00301BB1">
      <w:pPr>
        <w:kinsoku w:val="0"/>
        <w:overflowPunct w:val="0"/>
        <w:autoSpaceDE w:val="0"/>
        <w:autoSpaceDN w:val="0"/>
        <w:adjustRightInd w:val="0"/>
        <w:spacing w:before="42" w:line="600" w:lineRule="exact"/>
        <w:ind w:left="1508" w:hanging="1508"/>
        <w:jc w:val="center"/>
        <w:rPr>
          <w:rFonts w:ascii="华文中宋" w:eastAsia="华文中宋" w:hAnsi="华文中宋" w:cs="华文中宋"/>
          <w:b/>
          <w:bCs/>
          <w:kern w:val="0"/>
          <w:sz w:val="44"/>
          <w:szCs w:val="44"/>
        </w:rPr>
      </w:pPr>
      <w:r w:rsidRPr="00301BB1">
        <w:rPr>
          <w:rFonts w:ascii="华文中宋" w:eastAsia="华文中宋" w:hAnsi="华文中宋" w:cs="华文中宋" w:hint="eastAsia"/>
          <w:b/>
          <w:bCs/>
          <w:kern w:val="0"/>
          <w:sz w:val="44"/>
          <w:szCs w:val="44"/>
        </w:rPr>
        <w:t>前海再保险股份有限公司</w:t>
      </w:r>
    </w:p>
    <w:p w14:paraId="172D8E40" w14:textId="6BED196D" w:rsidR="00301BB1" w:rsidRPr="00301BB1" w:rsidRDefault="00C641B3" w:rsidP="00301BB1">
      <w:pPr>
        <w:kinsoku w:val="0"/>
        <w:overflowPunct w:val="0"/>
        <w:autoSpaceDE w:val="0"/>
        <w:autoSpaceDN w:val="0"/>
        <w:adjustRightInd w:val="0"/>
        <w:spacing w:before="42" w:line="600" w:lineRule="exact"/>
        <w:ind w:left="1508" w:hanging="1508"/>
        <w:jc w:val="center"/>
        <w:rPr>
          <w:rFonts w:ascii="华文中宋" w:eastAsia="华文中宋" w:hAnsi="华文中宋" w:cs="华文中宋"/>
          <w:b/>
          <w:bCs/>
          <w:spacing w:val="-12"/>
          <w:w w:val="95"/>
          <w:kern w:val="0"/>
          <w:sz w:val="44"/>
          <w:szCs w:val="44"/>
        </w:rPr>
      </w:pPr>
      <w:r>
        <w:rPr>
          <w:rFonts w:ascii="华文中宋" w:eastAsia="华文中宋" w:hAnsi="华文中宋" w:cs="华文中宋"/>
          <w:b/>
          <w:bCs/>
          <w:kern w:val="0"/>
          <w:sz w:val="44"/>
          <w:szCs w:val="44"/>
        </w:rPr>
        <w:t>20</w:t>
      </w:r>
      <w:r>
        <w:rPr>
          <w:rFonts w:ascii="华文中宋" w:eastAsia="华文中宋" w:hAnsi="华文中宋" w:cs="华文中宋" w:hint="eastAsia"/>
          <w:b/>
          <w:bCs/>
          <w:kern w:val="0"/>
          <w:sz w:val="44"/>
          <w:szCs w:val="44"/>
        </w:rPr>
        <w:t>20</w:t>
      </w:r>
      <w:r w:rsidR="00301BB1" w:rsidRPr="00301BB1">
        <w:rPr>
          <w:rFonts w:ascii="华文中宋" w:eastAsia="华文中宋" w:hAnsi="华文中宋" w:cs="华文中宋" w:hint="eastAsia"/>
          <w:b/>
          <w:bCs/>
          <w:spacing w:val="-15"/>
          <w:kern w:val="0"/>
          <w:sz w:val="44"/>
          <w:szCs w:val="44"/>
        </w:rPr>
        <w:t>年第</w:t>
      </w:r>
      <w:r>
        <w:rPr>
          <w:rFonts w:ascii="华文中宋" w:eastAsia="华文中宋" w:hAnsi="华文中宋" w:cs="华文中宋" w:hint="eastAsia"/>
          <w:b/>
          <w:bCs/>
          <w:spacing w:val="-15"/>
          <w:kern w:val="0"/>
          <w:sz w:val="44"/>
          <w:szCs w:val="44"/>
        </w:rPr>
        <w:t>一</w:t>
      </w:r>
      <w:r w:rsidR="00301BB1" w:rsidRPr="00301BB1">
        <w:rPr>
          <w:rFonts w:ascii="华文中宋" w:eastAsia="华文中宋" w:hAnsi="华文中宋" w:cs="华文中宋" w:hint="eastAsia"/>
          <w:b/>
          <w:bCs/>
          <w:spacing w:val="-12"/>
          <w:w w:val="95"/>
          <w:kern w:val="0"/>
          <w:sz w:val="44"/>
          <w:szCs w:val="44"/>
        </w:rPr>
        <w:t>季度关联交易合并披露公告</w:t>
      </w:r>
    </w:p>
    <w:p w14:paraId="49B6D8C8" w14:textId="77777777" w:rsidR="00301BB1" w:rsidRPr="00301BB1" w:rsidRDefault="00301BB1" w:rsidP="00301BB1">
      <w:pPr>
        <w:kinsoku w:val="0"/>
        <w:overflowPunct w:val="0"/>
        <w:autoSpaceDE w:val="0"/>
        <w:autoSpaceDN w:val="0"/>
        <w:adjustRightInd w:val="0"/>
        <w:spacing w:before="11"/>
        <w:jc w:val="left"/>
        <w:rPr>
          <w:rFonts w:ascii="华文中宋" w:eastAsia="华文中宋" w:hAnsi="Times New Roman" w:cs="华文中宋"/>
          <w:b/>
          <w:bCs/>
          <w:kern w:val="0"/>
          <w:sz w:val="28"/>
          <w:szCs w:val="28"/>
        </w:rPr>
      </w:pPr>
    </w:p>
    <w:p w14:paraId="06A75EF4" w14:textId="65A330E3" w:rsidR="00301BB1" w:rsidRPr="00301BB1" w:rsidRDefault="00301BB1" w:rsidP="00301BB1">
      <w:pPr>
        <w:kinsoku w:val="0"/>
        <w:overflowPunct w:val="0"/>
        <w:autoSpaceDE w:val="0"/>
        <w:autoSpaceDN w:val="0"/>
        <w:adjustRightInd w:val="0"/>
        <w:spacing w:line="358" w:lineRule="auto"/>
        <w:ind w:firstLine="641"/>
        <w:rPr>
          <w:rFonts w:ascii="仿宋" w:eastAsia="仿宋" w:hAnsi="仿宋" w:cs="宋体"/>
          <w:w w:val="95"/>
          <w:kern w:val="0"/>
          <w:sz w:val="32"/>
          <w:szCs w:val="32"/>
        </w:rPr>
      </w:pPr>
      <w:r w:rsidRPr="00301BB1">
        <w:rPr>
          <w:rFonts w:ascii="仿宋" w:eastAsia="仿宋" w:hAnsi="仿宋" w:cs="宋体" w:hint="eastAsia"/>
          <w:spacing w:val="-3"/>
          <w:kern w:val="0"/>
          <w:sz w:val="32"/>
          <w:szCs w:val="32"/>
        </w:rPr>
        <w:t>根据</w:t>
      </w:r>
      <w:r w:rsidR="00E15FA1" w:rsidRPr="00E15FA1">
        <w:rPr>
          <w:rFonts w:ascii="仿宋" w:eastAsia="仿宋" w:hAnsi="仿宋" w:cs="宋体" w:hint="eastAsia"/>
          <w:spacing w:val="-3"/>
          <w:kern w:val="0"/>
          <w:sz w:val="32"/>
          <w:szCs w:val="32"/>
        </w:rPr>
        <w:t>贵会《关于印发保险公司关联交易管理办法的通知》（银保监发〔</w:t>
      </w:r>
      <w:r w:rsidR="00E15FA1" w:rsidRPr="00E15FA1">
        <w:rPr>
          <w:rFonts w:ascii="仿宋" w:eastAsia="仿宋" w:hAnsi="仿宋" w:cs="宋体"/>
          <w:spacing w:val="-3"/>
          <w:kern w:val="0"/>
          <w:sz w:val="32"/>
          <w:szCs w:val="32"/>
        </w:rPr>
        <w:t>2019〕35号）</w:t>
      </w:r>
      <w:r w:rsidRPr="00301BB1">
        <w:rPr>
          <w:rFonts w:ascii="仿宋" w:eastAsia="仿宋" w:hAnsi="仿宋" w:cs="宋体" w:hint="eastAsia"/>
          <w:kern w:val="0"/>
          <w:sz w:val="32"/>
          <w:szCs w:val="32"/>
        </w:rPr>
        <w:t>及相</w:t>
      </w:r>
      <w:r w:rsidRPr="00301BB1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关规定，现将前海再保险股份</w:t>
      </w:r>
      <w:r w:rsidRPr="00301BB1">
        <w:rPr>
          <w:rFonts w:ascii="仿宋" w:eastAsia="仿宋" w:hAnsi="仿宋" w:cs="宋体" w:hint="eastAsia"/>
          <w:spacing w:val="-3"/>
          <w:kern w:val="0"/>
          <w:sz w:val="32"/>
          <w:szCs w:val="32"/>
        </w:rPr>
        <w:t>有限公司（以下简称“</w:t>
      </w:r>
      <w:r w:rsidR="00D77C8B">
        <w:rPr>
          <w:rFonts w:ascii="仿宋" w:eastAsia="仿宋" w:hAnsi="仿宋" w:cs="宋体" w:hint="eastAsia"/>
          <w:spacing w:val="-3"/>
          <w:kern w:val="0"/>
          <w:sz w:val="32"/>
          <w:szCs w:val="32"/>
        </w:rPr>
        <w:t>我</w:t>
      </w:r>
      <w:r w:rsidRPr="00301BB1">
        <w:rPr>
          <w:rFonts w:ascii="仿宋" w:eastAsia="仿宋" w:hAnsi="仿宋" w:cs="宋体" w:hint="eastAsia"/>
          <w:spacing w:val="-3"/>
          <w:kern w:val="0"/>
          <w:sz w:val="32"/>
          <w:szCs w:val="32"/>
        </w:rPr>
        <w:t>司”）</w:t>
      </w:r>
      <w:r w:rsidR="00C641B3">
        <w:rPr>
          <w:rFonts w:ascii="仿宋" w:eastAsia="仿宋" w:hAnsi="仿宋" w:cs="宋体"/>
          <w:spacing w:val="-3"/>
          <w:kern w:val="0"/>
          <w:sz w:val="32"/>
          <w:szCs w:val="32"/>
        </w:rPr>
        <w:t>20</w:t>
      </w:r>
      <w:r w:rsidR="00C641B3">
        <w:rPr>
          <w:rFonts w:ascii="仿宋" w:eastAsia="仿宋" w:hAnsi="仿宋" w:cs="宋体" w:hint="eastAsia"/>
          <w:spacing w:val="-3"/>
          <w:kern w:val="0"/>
          <w:sz w:val="32"/>
          <w:szCs w:val="32"/>
        </w:rPr>
        <w:t>20年</w:t>
      </w:r>
      <w:r w:rsidRPr="00301BB1">
        <w:rPr>
          <w:rFonts w:ascii="仿宋" w:eastAsia="仿宋" w:hAnsi="仿宋" w:cs="宋体" w:hint="eastAsia"/>
          <w:spacing w:val="-3"/>
          <w:kern w:val="0"/>
          <w:sz w:val="32"/>
          <w:szCs w:val="32"/>
        </w:rPr>
        <w:t>第</w:t>
      </w:r>
      <w:r w:rsidR="00C641B3">
        <w:rPr>
          <w:rFonts w:ascii="仿宋" w:eastAsia="仿宋" w:hAnsi="仿宋" w:cs="宋体" w:hint="eastAsia"/>
          <w:w w:val="99"/>
          <w:kern w:val="0"/>
          <w:sz w:val="32"/>
          <w:szCs w:val="32"/>
        </w:rPr>
        <w:t>一</w:t>
      </w:r>
      <w:r w:rsidRPr="00301BB1">
        <w:rPr>
          <w:rFonts w:ascii="仿宋" w:eastAsia="仿宋" w:hAnsi="仿宋" w:cs="宋体" w:hint="eastAsia"/>
          <w:w w:val="99"/>
          <w:kern w:val="0"/>
          <w:sz w:val="32"/>
          <w:szCs w:val="32"/>
        </w:rPr>
        <w:t>季度需分类合并披露的关联交易信息披露</w:t>
      </w:r>
      <w:r w:rsidRPr="00301BB1">
        <w:rPr>
          <w:rFonts w:ascii="仿宋" w:eastAsia="仿宋" w:hAnsi="仿宋" w:cs="宋体" w:hint="eastAsia"/>
          <w:w w:val="95"/>
          <w:kern w:val="0"/>
          <w:sz w:val="32"/>
          <w:szCs w:val="32"/>
        </w:rPr>
        <w:t>如下：</w:t>
      </w:r>
    </w:p>
    <w:p w14:paraId="5DF27880" w14:textId="164CA7FC" w:rsidR="006C749F" w:rsidRPr="00A325B0" w:rsidRDefault="00201B6F" w:rsidP="009C561F">
      <w:pPr>
        <w:kinsoku w:val="0"/>
        <w:overflowPunct w:val="0"/>
        <w:autoSpaceDE w:val="0"/>
        <w:autoSpaceDN w:val="0"/>
        <w:adjustRightInd w:val="0"/>
        <w:spacing w:beforeLines="50" w:before="120" w:afterLines="50" w:after="120" w:line="504" w:lineRule="exact"/>
        <w:ind w:firstLineChars="200" w:firstLine="643"/>
        <w:jc w:val="left"/>
        <w:outlineLvl w:val="0"/>
        <w:rPr>
          <w:rFonts w:ascii="黑体" w:eastAsia="黑体" w:hAnsi="黑体" w:cs="Microsoft JhengHei"/>
          <w:b/>
          <w:bCs/>
          <w:kern w:val="0"/>
          <w:sz w:val="32"/>
          <w:szCs w:val="32"/>
        </w:rPr>
      </w:pPr>
      <w:r>
        <w:rPr>
          <w:rFonts w:ascii="黑体" w:eastAsia="黑体" w:hAnsi="黑体" w:cs="Microsoft JhengHei" w:hint="eastAsia"/>
          <w:b/>
          <w:bCs/>
          <w:kern w:val="0"/>
          <w:sz w:val="32"/>
          <w:szCs w:val="32"/>
        </w:rPr>
        <w:t>一、</w:t>
      </w:r>
      <w:r w:rsidR="00301BB1" w:rsidRPr="00571BC0">
        <w:rPr>
          <w:rFonts w:ascii="黑体" w:eastAsia="黑体" w:hAnsi="黑体" w:cs="Microsoft JhengHei" w:hint="eastAsia"/>
          <w:b/>
          <w:bCs/>
          <w:kern w:val="0"/>
          <w:sz w:val="32"/>
          <w:szCs w:val="32"/>
        </w:rPr>
        <w:t>本季度各类关联交易总量及明细表</w:t>
      </w:r>
      <w:r w:rsidR="006C749F">
        <w:rPr>
          <w:rFonts w:ascii="黑体" w:eastAsia="黑体" w:hAnsi="黑体" w:cs="Microsoft JhengHei" w:hint="eastAsia"/>
          <w:b/>
          <w:bCs/>
          <w:kern w:val="0"/>
          <w:sz w:val="32"/>
          <w:szCs w:val="32"/>
        </w:rPr>
        <w:t xml:space="preserve"> </w:t>
      </w:r>
      <w:r w:rsidR="006C749F">
        <w:rPr>
          <w:rFonts w:ascii="黑体" w:eastAsia="黑体" w:hAnsi="黑体" w:cs="Microsoft JhengHei"/>
          <w:b/>
          <w:bCs/>
          <w:kern w:val="0"/>
          <w:sz w:val="32"/>
          <w:szCs w:val="32"/>
        </w:rPr>
        <w:t xml:space="preserve">   </w:t>
      </w:r>
      <w:r w:rsidR="006C749F" w:rsidRPr="00A325B0">
        <w:rPr>
          <w:rFonts w:ascii="黑体" w:eastAsia="黑体" w:hAnsi="黑体" w:cs="Microsoft JhengHei"/>
          <w:b/>
          <w:bCs/>
          <w:kern w:val="0"/>
          <w:sz w:val="32"/>
          <w:szCs w:val="32"/>
        </w:rPr>
        <w:t xml:space="preserve">    </w:t>
      </w:r>
    </w:p>
    <w:p w14:paraId="3D630972" w14:textId="424A3C49" w:rsidR="00201B6F" w:rsidRDefault="00C641B3" w:rsidP="00A325B0">
      <w:pPr>
        <w:kinsoku w:val="0"/>
        <w:overflowPunct w:val="0"/>
        <w:autoSpaceDE w:val="0"/>
        <w:autoSpaceDN w:val="0"/>
        <w:adjustRightInd w:val="0"/>
        <w:spacing w:beforeLines="50" w:before="120" w:afterLines="50" w:after="120" w:line="504" w:lineRule="exact"/>
        <w:ind w:firstLineChars="200" w:firstLine="632"/>
        <w:jc w:val="left"/>
        <w:outlineLvl w:val="0"/>
        <w:rPr>
          <w:rFonts w:ascii="仿宋" w:eastAsia="仿宋" w:hAnsi="仿宋" w:cs="宋体"/>
          <w:spacing w:val="-2"/>
          <w:kern w:val="0"/>
          <w:sz w:val="32"/>
          <w:szCs w:val="32"/>
        </w:rPr>
      </w:pPr>
      <w:r>
        <w:rPr>
          <w:rFonts w:ascii="仿宋" w:eastAsia="仿宋" w:hAnsi="仿宋" w:cs="宋体"/>
          <w:spacing w:val="-2"/>
          <w:kern w:val="0"/>
          <w:sz w:val="32"/>
          <w:szCs w:val="32"/>
        </w:rPr>
        <w:t>20</w:t>
      </w:r>
      <w:r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20</w:t>
      </w:r>
      <w:r w:rsidR="006C749F" w:rsidRPr="00A325B0">
        <w:rPr>
          <w:rFonts w:ascii="仿宋" w:eastAsia="仿宋" w:hAnsi="仿宋" w:cs="宋体"/>
          <w:spacing w:val="-2"/>
          <w:kern w:val="0"/>
          <w:sz w:val="32"/>
          <w:szCs w:val="32"/>
        </w:rPr>
        <w:t>年第</w:t>
      </w:r>
      <w:r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一</w:t>
      </w:r>
      <w:r w:rsidR="006C749F" w:rsidRPr="00A325B0">
        <w:rPr>
          <w:rFonts w:ascii="仿宋" w:eastAsia="仿宋" w:hAnsi="仿宋" w:cs="宋体"/>
          <w:spacing w:val="-2"/>
          <w:kern w:val="0"/>
          <w:sz w:val="32"/>
          <w:szCs w:val="32"/>
        </w:rPr>
        <w:t>季度</w:t>
      </w:r>
      <w:r w:rsidR="006C749F" w:rsidRPr="00A325B0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，</w:t>
      </w:r>
      <w:r w:rsidR="006C749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我司</w:t>
      </w:r>
      <w:r w:rsidR="00A4746B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未</w:t>
      </w:r>
      <w:r w:rsidR="001F2F5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新增</w:t>
      </w:r>
      <w:r w:rsidR="006C749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需</w:t>
      </w:r>
      <w:r w:rsidR="00D825D1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分类</w:t>
      </w:r>
      <w:r w:rsidR="006C749F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合并披露的关联交易</w:t>
      </w:r>
      <w:r w:rsidR="00A4746B">
        <w:rPr>
          <w:rFonts w:ascii="仿宋" w:eastAsia="仿宋" w:hAnsi="仿宋" w:cs="宋体" w:hint="eastAsia"/>
          <w:spacing w:val="-2"/>
          <w:kern w:val="0"/>
          <w:sz w:val="32"/>
          <w:szCs w:val="32"/>
        </w:rPr>
        <w:t>。</w:t>
      </w:r>
    </w:p>
    <w:p w14:paraId="5E934E64" w14:textId="77777777" w:rsidR="00301BB1" w:rsidRPr="00301BB1" w:rsidRDefault="00301BB1" w:rsidP="00976D55">
      <w:pPr>
        <w:kinsoku w:val="0"/>
        <w:overflowPunct w:val="0"/>
        <w:autoSpaceDE w:val="0"/>
        <w:autoSpaceDN w:val="0"/>
        <w:adjustRightInd w:val="0"/>
        <w:spacing w:beforeLines="50" w:before="120" w:afterLines="50" w:after="120" w:line="504" w:lineRule="exact"/>
        <w:ind w:firstLineChars="200" w:firstLine="643"/>
        <w:jc w:val="left"/>
        <w:outlineLvl w:val="0"/>
        <w:rPr>
          <w:rFonts w:ascii="宋体" w:eastAsia="宋体" w:hAnsi="宋体" w:cs="Times New Roman"/>
          <w:b/>
          <w:bCs/>
          <w:kern w:val="0"/>
          <w:sz w:val="28"/>
          <w:szCs w:val="28"/>
        </w:rPr>
      </w:pPr>
      <w:r w:rsidRPr="00301BB1">
        <w:rPr>
          <w:rFonts w:ascii="黑体" w:eastAsia="黑体" w:hAnsi="黑体" w:cs="Microsoft JhengHei" w:hint="eastAsia"/>
          <w:b/>
          <w:bCs/>
          <w:kern w:val="0"/>
          <w:sz w:val="32"/>
          <w:szCs w:val="32"/>
        </w:rPr>
        <w:t>二、</w:t>
      </w:r>
      <w:r w:rsidRPr="00005091">
        <w:rPr>
          <w:rFonts w:ascii="黑体" w:eastAsia="黑体" w:hAnsi="黑体" w:cs="Microsoft JhengHei" w:hint="eastAsia"/>
          <w:b/>
          <w:bCs/>
          <w:kern w:val="0"/>
          <w:sz w:val="32"/>
          <w:szCs w:val="32"/>
        </w:rPr>
        <w:t>本年度各类关联交易累计金额</w:t>
      </w:r>
    </w:p>
    <w:tbl>
      <w:tblPr>
        <w:tblW w:w="8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4"/>
        <w:gridCol w:w="2906"/>
      </w:tblGrid>
      <w:tr w:rsidR="00301BB1" w:rsidRPr="00301BB1" w14:paraId="0C8CC41C" w14:textId="77777777" w:rsidTr="00393119">
        <w:trPr>
          <w:trHeight w:hRule="exact" w:val="471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32D37" w14:textId="77777777" w:rsidR="00301BB1" w:rsidRPr="00301BB1" w:rsidRDefault="00301BB1" w:rsidP="00301B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301BB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关联交易类别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7D7B" w14:textId="77777777" w:rsidR="00301BB1" w:rsidRPr="00301BB1" w:rsidRDefault="00301BB1" w:rsidP="00301B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 w:rsidRPr="00301BB1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累计金额（万元）</w:t>
            </w:r>
          </w:p>
        </w:tc>
      </w:tr>
      <w:tr w:rsidR="00301BB1" w:rsidRPr="00301BB1" w14:paraId="4AFD1581" w14:textId="77777777" w:rsidTr="00393119">
        <w:trPr>
          <w:trHeight w:hRule="exact" w:val="454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C1348" w14:textId="6B8C5820" w:rsidR="00301BB1" w:rsidRPr="00301BB1" w:rsidRDefault="00C70BF2" w:rsidP="00301BB1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投资入股类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71F7" w14:textId="021DA928" w:rsidR="00301BB1" w:rsidRPr="00301BB1" w:rsidRDefault="00C70BF2" w:rsidP="00BD021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C70BF2" w:rsidRPr="00301BB1" w14:paraId="748564A2" w14:textId="77777777" w:rsidTr="00393119">
        <w:trPr>
          <w:trHeight w:hRule="exact" w:val="454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ECA9B" w14:textId="77777777" w:rsidR="00C70BF2" w:rsidRDefault="00C70BF2" w:rsidP="00301BB1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资金运用类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86DC" w14:textId="2D242FB5" w:rsidR="00C70BF2" w:rsidRPr="00BD021A" w:rsidRDefault="002F2C88" w:rsidP="00BD021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C70BF2" w:rsidRPr="00301BB1" w14:paraId="3068A902" w14:textId="77777777" w:rsidTr="00393119">
        <w:trPr>
          <w:trHeight w:hRule="exact" w:val="454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29C54" w14:textId="77777777" w:rsidR="00C70BF2" w:rsidRDefault="00C70BF2" w:rsidP="00301BB1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利益转移类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1790" w14:textId="77777777" w:rsidR="00C70BF2" w:rsidRPr="00BD021A" w:rsidRDefault="00C70BF2" w:rsidP="00BD021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C70BF2" w:rsidRPr="00301BB1" w14:paraId="3DA23A60" w14:textId="77777777" w:rsidTr="00393119">
        <w:trPr>
          <w:trHeight w:hRule="exact" w:val="454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8652" w14:textId="77777777" w:rsidR="00C70BF2" w:rsidRDefault="00C70BF2" w:rsidP="00301BB1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保险业务类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5D467" w14:textId="6FE69C8A" w:rsidR="00C70BF2" w:rsidRPr="00BD021A" w:rsidRDefault="00B02195" w:rsidP="00BD021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C70BF2" w:rsidRPr="00301BB1" w14:paraId="5CFB5ACA" w14:textId="77777777" w:rsidTr="00393119">
        <w:trPr>
          <w:trHeight w:hRule="exact" w:val="454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4F3E" w14:textId="77777777" w:rsidR="00C70BF2" w:rsidRDefault="00C70BF2" w:rsidP="00301BB1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提供货物或服务类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AB33F" w14:textId="304DDDBE" w:rsidR="00C70BF2" w:rsidRPr="00BD021A" w:rsidRDefault="00857F13" w:rsidP="00BD021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C70BF2" w:rsidRPr="00301BB1" w14:paraId="224F0CC5" w14:textId="77777777" w:rsidTr="00393119">
        <w:trPr>
          <w:trHeight w:hRule="exact" w:val="454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6EE98" w14:textId="77777777" w:rsidR="00C70BF2" w:rsidRDefault="00C70BF2" w:rsidP="00301BB1">
            <w:pPr>
              <w:autoSpaceDE w:val="0"/>
              <w:autoSpaceDN w:val="0"/>
              <w:adjustRightInd w:val="0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其他可能引致保险公司资源或者义务转移的事项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C16B0" w14:textId="77777777" w:rsidR="00C70BF2" w:rsidRPr="00BD021A" w:rsidRDefault="00C70BF2" w:rsidP="00BD021A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</w:p>
        </w:tc>
      </w:tr>
      <w:tr w:rsidR="00301BB1" w:rsidRPr="00301BB1" w14:paraId="4D35F619" w14:textId="77777777" w:rsidTr="00393119">
        <w:trPr>
          <w:trHeight w:hRule="exact" w:val="454"/>
        </w:trPr>
        <w:tc>
          <w:tcPr>
            <w:tcW w:w="5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9A933" w14:textId="77777777" w:rsidR="00301BB1" w:rsidRPr="00301BB1" w:rsidRDefault="00301BB1" w:rsidP="00301BB1">
            <w:pPr>
              <w:autoSpaceDE w:val="0"/>
              <w:autoSpaceDN w:val="0"/>
              <w:adjustRightInd w:val="0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 w:rsidRPr="00301B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总计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CD5E2" w14:textId="77B40392" w:rsidR="00301BB1" w:rsidRPr="00301BB1" w:rsidRDefault="00B02195" w:rsidP="00301BB1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color w:val="000000" w:themeColor="text1"/>
                <w:kern w:val="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301BB1" w:rsidRPr="00301BB1" w14:paraId="68A0C366" w14:textId="77777777" w:rsidTr="00393119">
        <w:trPr>
          <w:trHeight w:hRule="exact" w:val="738"/>
        </w:trPr>
        <w:tc>
          <w:tcPr>
            <w:tcW w:w="8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F035D" w14:textId="052E05C0" w:rsidR="00301BB1" w:rsidRPr="00301BB1" w:rsidRDefault="00301BB1" w:rsidP="00393119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仿宋" w:eastAsia="仿宋" w:hAnsi="仿宋" w:cs="Microsoft JhengHei"/>
                <w:bCs/>
                <w:kern w:val="0"/>
                <w:sz w:val="24"/>
                <w:szCs w:val="24"/>
              </w:rPr>
            </w:pPr>
            <w:r w:rsidRPr="00301BB1">
              <w:rPr>
                <w:rFonts w:ascii="仿宋" w:eastAsia="仿宋" w:hAnsi="仿宋" w:cs="Microsoft JhengHei" w:hint="eastAsia"/>
                <w:bCs/>
                <w:kern w:val="0"/>
                <w:sz w:val="24"/>
                <w:szCs w:val="24"/>
              </w:rPr>
              <w:t>备注：根据监管要求，以上统计范围不包括已履行逐笔报告披露义务</w:t>
            </w:r>
            <w:r w:rsidR="00393119">
              <w:rPr>
                <w:rFonts w:ascii="仿宋" w:eastAsia="仿宋" w:hAnsi="仿宋" w:cs="Microsoft JhengHei" w:hint="eastAsia"/>
                <w:bCs/>
                <w:kern w:val="0"/>
                <w:sz w:val="24"/>
                <w:szCs w:val="24"/>
              </w:rPr>
              <w:t>的</w:t>
            </w:r>
            <w:r w:rsidR="00854D7B">
              <w:rPr>
                <w:rFonts w:ascii="仿宋" w:eastAsia="仿宋" w:hAnsi="仿宋" w:cs="Microsoft JhengHei" w:hint="eastAsia"/>
                <w:bCs/>
                <w:kern w:val="0"/>
                <w:sz w:val="24"/>
                <w:szCs w:val="24"/>
              </w:rPr>
              <w:t>关联交易以</w:t>
            </w:r>
            <w:r w:rsidR="00393119">
              <w:rPr>
                <w:rFonts w:ascii="仿宋" w:eastAsia="仿宋" w:hAnsi="仿宋" w:cs="Microsoft JhengHei" w:hint="eastAsia"/>
                <w:bCs/>
                <w:kern w:val="0"/>
                <w:sz w:val="24"/>
                <w:szCs w:val="24"/>
              </w:rPr>
              <w:t>及免于</w:t>
            </w:r>
            <w:r w:rsidR="00854D7B">
              <w:rPr>
                <w:rFonts w:ascii="仿宋" w:eastAsia="仿宋" w:hAnsi="仿宋" w:cs="Microsoft JhengHei" w:hint="eastAsia"/>
                <w:bCs/>
                <w:kern w:val="0"/>
                <w:sz w:val="24"/>
                <w:szCs w:val="24"/>
              </w:rPr>
              <w:t>披露</w:t>
            </w:r>
            <w:r w:rsidR="00393119">
              <w:rPr>
                <w:rFonts w:ascii="仿宋" w:eastAsia="仿宋" w:hAnsi="仿宋" w:cs="Microsoft JhengHei" w:hint="eastAsia"/>
                <w:bCs/>
                <w:kern w:val="0"/>
                <w:sz w:val="24"/>
                <w:szCs w:val="24"/>
              </w:rPr>
              <w:t>的</w:t>
            </w:r>
            <w:r w:rsidRPr="00301BB1">
              <w:rPr>
                <w:rFonts w:ascii="仿宋" w:eastAsia="仿宋" w:hAnsi="仿宋" w:cs="Microsoft JhengHei" w:hint="eastAsia"/>
                <w:bCs/>
                <w:kern w:val="0"/>
                <w:sz w:val="24"/>
                <w:szCs w:val="24"/>
              </w:rPr>
              <w:t>关联交易</w:t>
            </w:r>
            <w:r w:rsidR="00393119">
              <w:rPr>
                <w:rFonts w:ascii="仿宋" w:eastAsia="仿宋" w:hAnsi="仿宋" w:cs="Microsoft JhengHei" w:hint="eastAsia"/>
                <w:bCs/>
                <w:kern w:val="0"/>
                <w:sz w:val="24"/>
                <w:szCs w:val="24"/>
              </w:rPr>
              <w:t>。</w:t>
            </w:r>
          </w:p>
        </w:tc>
      </w:tr>
    </w:tbl>
    <w:p w14:paraId="347FB218" w14:textId="77777777" w:rsidR="00301BB1" w:rsidRPr="00591FBB" w:rsidRDefault="00301BB1" w:rsidP="00591FBB">
      <w:pPr>
        <w:kinsoku w:val="0"/>
        <w:overflowPunct w:val="0"/>
        <w:autoSpaceDE w:val="0"/>
        <w:autoSpaceDN w:val="0"/>
        <w:adjustRightInd w:val="0"/>
        <w:spacing w:line="358" w:lineRule="auto"/>
        <w:ind w:firstLine="641"/>
        <w:rPr>
          <w:rFonts w:ascii="仿宋" w:eastAsia="仿宋" w:hAnsi="仿宋" w:cs="宋体"/>
          <w:spacing w:val="-3"/>
          <w:kern w:val="0"/>
          <w:sz w:val="32"/>
          <w:szCs w:val="32"/>
        </w:rPr>
      </w:pPr>
      <w:r w:rsidRPr="00591FBB">
        <w:rPr>
          <w:rFonts w:ascii="仿宋" w:eastAsia="仿宋" w:hAnsi="仿宋" w:cs="宋体" w:hint="eastAsia"/>
          <w:spacing w:val="-3"/>
          <w:kern w:val="0"/>
          <w:sz w:val="32"/>
          <w:szCs w:val="32"/>
        </w:rPr>
        <w:t>特此公告。</w:t>
      </w:r>
    </w:p>
    <w:p w14:paraId="21E00E2C" w14:textId="77777777" w:rsidR="00301BB1" w:rsidRPr="00591FBB" w:rsidRDefault="00301BB1" w:rsidP="00591FBB">
      <w:pPr>
        <w:kinsoku w:val="0"/>
        <w:overflowPunct w:val="0"/>
        <w:autoSpaceDE w:val="0"/>
        <w:autoSpaceDN w:val="0"/>
        <w:adjustRightInd w:val="0"/>
        <w:spacing w:line="358" w:lineRule="auto"/>
        <w:ind w:firstLine="641"/>
        <w:rPr>
          <w:rFonts w:ascii="仿宋" w:eastAsia="仿宋" w:hAnsi="仿宋" w:cs="宋体"/>
          <w:spacing w:val="-3"/>
          <w:kern w:val="0"/>
          <w:sz w:val="32"/>
          <w:szCs w:val="32"/>
        </w:rPr>
      </w:pPr>
    </w:p>
    <w:p w14:paraId="2B8C8474" w14:textId="77777777" w:rsidR="00301BB1" w:rsidRPr="009C561F" w:rsidRDefault="00301BB1" w:rsidP="00591FBB">
      <w:pPr>
        <w:kinsoku w:val="0"/>
        <w:overflowPunct w:val="0"/>
        <w:autoSpaceDE w:val="0"/>
        <w:autoSpaceDN w:val="0"/>
        <w:adjustRightInd w:val="0"/>
        <w:spacing w:line="358" w:lineRule="auto"/>
        <w:ind w:firstLine="641"/>
        <w:jc w:val="right"/>
        <w:rPr>
          <w:rFonts w:ascii="仿宋" w:eastAsia="仿宋" w:hAnsi="仿宋" w:cs="宋体"/>
          <w:spacing w:val="-3"/>
          <w:kern w:val="0"/>
          <w:sz w:val="32"/>
          <w:szCs w:val="32"/>
        </w:rPr>
      </w:pPr>
      <w:r w:rsidRPr="009C561F">
        <w:rPr>
          <w:rFonts w:ascii="仿宋" w:eastAsia="仿宋" w:hAnsi="仿宋" w:cs="宋体" w:hint="eastAsia"/>
          <w:spacing w:val="-3"/>
          <w:kern w:val="0"/>
          <w:sz w:val="32"/>
          <w:szCs w:val="32"/>
        </w:rPr>
        <w:t>前海再保险股份有限公司</w:t>
      </w:r>
    </w:p>
    <w:p w14:paraId="48C22125" w14:textId="656FF7A3" w:rsidR="00301BB1" w:rsidRPr="00591FBB" w:rsidRDefault="00301BB1" w:rsidP="00591FBB">
      <w:pPr>
        <w:kinsoku w:val="0"/>
        <w:overflowPunct w:val="0"/>
        <w:autoSpaceDE w:val="0"/>
        <w:autoSpaceDN w:val="0"/>
        <w:adjustRightInd w:val="0"/>
        <w:spacing w:line="358" w:lineRule="auto"/>
        <w:ind w:firstLine="641"/>
        <w:jc w:val="right"/>
        <w:rPr>
          <w:rFonts w:ascii="仿宋" w:eastAsia="仿宋" w:hAnsi="仿宋" w:cs="宋体"/>
          <w:spacing w:val="-3"/>
          <w:kern w:val="0"/>
          <w:sz w:val="32"/>
          <w:szCs w:val="32"/>
        </w:rPr>
      </w:pPr>
      <w:r w:rsidRPr="009C561F">
        <w:rPr>
          <w:rFonts w:ascii="仿宋" w:eastAsia="仿宋" w:hAnsi="仿宋" w:cs="宋体"/>
          <w:spacing w:val="-3"/>
          <w:kern w:val="0"/>
          <w:sz w:val="32"/>
          <w:szCs w:val="32"/>
        </w:rPr>
        <w:t>20</w:t>
      </w:r>
      <w:r w:rsidR="00F21C63" w:rsidRPr="009C561F">
        <w:rPr>
          <w:rFonts w:ascii="仿宋" w:eastAsia="仿宋" w:hAnsi="仿宋" w:cs="宋体" w:hint="eastAsia"/>
          <w:spacing w:val="-3"/>
          <w:kern w:val="0"/>
          <w:sz w:val="32"/>
          <w:szCs w:val="32"/>
        </w:rPr>
        <w:t>20</w:t>
      </w:r>
      <w:r w:rsidRPr="009C561F">
        <w:rPr>
          <w:rFonts w:ascii="仿宋" w:eastAsia="仿宋" w:hAnsi="仿宋" w:cs="宋体" w:hint="eastAsia"/>
          <w:spacing w:val="-3"/>
          <w:kern w:val="0"/>
          <w:sz w:val="32"/>
          <w:szCs w:val="32"/>
        </w:rPr>
        <w:t>年</w:t>
      </w:r>
      <w:r w:rsidR="00C641B3">
        <w:rPr>
          <w:rFonts w:ascii="仿宋" w:eastAsia="仿宋" w:hAnsi="仿宋" w:cs="宋体" w:hint="eastAsia"/>
          <w:spacing w:val="-3"/>
          <w:kern w:val="0"/>
          <w:sz w:val="32"/>
          <w:szCs w:val="32"/>
        </w:rPr>
        <w:t>4</w:t>
      </w:r>
      <w:r w:rsidRPr="009C561F">
        <w:rPr>
          <w:rFonts w:ascii="仿宋" w:eastAsia="仿宋" w:hAnsi="仿宋" w:cs="宋体" w:hint="eastAsia"/>
          <w:spacing w:val="-3"/>
          <w:kern w:val="0"/>
          <w:sz w:val="32"/>
          <w:szCs w:val="32"/>
        </w:rPr>
        <w:t>月</w:t>
      </w:r>
      <w:r w:rsidR="00C641B3">
        <w:rPr>
          <w:rFonts w:ascii="仿宋" w:eastAsia="仿宋" w:hAnsi="仿宋" w:cs="宋体" w:hint="eastAsia"/>
          <w:spacing w:val="-3"/>
          <w:kern w:val="0"/>
          <w:sz w:val="32"/>
          <w:szCs w:val="32"/>
        </w:rPr>
        <w:t>30</w:t>
      </w:r>
      <w:r w:rsidRPr="009C561F">
        <w:rPr>
          <w:rFonts w:ascii="仿宋" w:eastAsia="仿宋" w:hAnsi="仿宋" w:cs="宋体" w:hint="eastAsia"/>
          <w:spacing w:val="-3"/>
          <w:kern w:val="0"/>
          <w:sz w:val="32"/>
          <w:szCs w:val="32"/>
        </w:rPr>
        <w:t>日</w:t>
      </w:r>
    </w:p>
    <w:p w14:paraId="5A7E5B76" w14:textId="77777777" w:rsidR="00B00C16" w:rsidRPr="00301BB1" w:rsidRDefault="00B00C16" w:rsidP="00301BB1"/>
    <w:sectPr w:rsidR="00B00C16" w:rsidRPr="00301BB1">
      <w:footerReference w:type="default" r:id="rId8"/>
      <w:pgSz w:w="11910" w:h="16840"/>
      <w:pgMar w:top="1440" w:right="1800" w:bottom="1440" w:left="1800" w:header="0" w:footer="1195" w:gutter="0"/>
      <w:cols w:space="720" w:equalWidth="0">
        <w:col w:w="8430"/>
      </w:cols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67090C" w14:textId="77777777" w:rsidR="00694902" w:rsidRDefault="00694902" w:rsidP="000202BE">
      <w:r>
        <w:separator/>
      </w:r>
    </w:p>
  </w:endnote>
  <w:endnote w:type="continuationSeparator" w:id="0">
    <w:p w14:paraId="4BE65194" w14:textId="77777777" w:rsidR="00694902" w:rsidRDefault="00694902" w:rsidP="00020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D1293" w14:textId="77777777" w:rsidR="00A50EB5" w:rsidRDefault="00694902">
    <w:pPr>
      <w:pStyle w:val="a7"/>
      <w:kinsoku w:val="0"/>
      <w:overflowPunct w:val="0"/>
      <w:spacing w:line="14" w:lineRule="auto"/>
      <w:rPr>
        <w:rFonts w:asci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F27DA" w14:textId="77777777" w:rsidR="00694902" w:rsidRDefault="00694902" w:rsidP="000202BE">
      <w:r>
        <w:separator/>
      </w:r>
    </w:p>
  </w:footnote>
  <w:footnote w:type="continuationSeparator" w:id="0">
    <w:p w14:paraId="1F576052" w14:textId="77777777" w:rsidR="00694902" w:rsidRDefault="00694902" w:rsidP="00020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367E5"/>
    <w:multiLevelType w:val="hybridMultilevel"/>
    <w:tmpl w:val="A880E9A2"/>
    <w:lvl w:ilvl="0" w:tplc="2B26CA68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C5B"/>
    <w:rsid w:val="00005091"/>
    <w:rsid w:val="00011A49"/>
    <w:rsid w:val="000202BE"/>
    <w:rsid w:val="00055965"/>
    <w:rsid w:val="000E1803"/>
    <w:rsid w:val="000F67AD"/>
    <w:rsid w:val="0010472E"/>
    <w:rsid w:val="001464BE"/>
    <w:rsid w:val="00152D1F"/>
    <w:rsid w:val="001A1829"/>
    <w:rsid w:val="001B1047"/>
    <w:rsid w:val="001B2622"/>
    <w:rsid w:val="001C4CE9"/>
    <w:rsid w:val="001F2F5F"/>
    <w:rsid w:val="00201B6F"/>
    <w:rsid w:val="002044F3"/>
    <w:rsid w:val="0024036F"/>
    <w:rsid w:val="00280763"/>
    <w:rsid w:val="00284F9D"/>
    <w:rsid w:val="002860F5"/>
    <w:rsid w:val="002925DD"/>
    <w:rsid w:val="002B600F"/>
    <w:rsid w:val="002E2087"/>
    <w:rsid w:val="002E30ED"/>
    <w:rsid w:val="002F2C88"/>
    <w:rsid w:val="00301BB1"/>
    <w:rsid w:val="00332562"/>
    <w:rsid w:val="00347716"/>
    <w:rsid w:val="00371E5F"/>
    <w:rsid w:val="00381FAE"/>
    <w:rsid w:val="00393119"/>
    <w:rsid w:val="003B573D"/>
    <w:rsid w:val="003D40A6"/>
    <w:rsid w:val="003F1B87"/>
    <w:rsid w:val="003F4C1F"/>
    <w:rsid w:val="00401CC7"/>
    <w:rsid w:val="004A23F0"/>
    <w:rsid w:val="004A70CF"/>
    <w:rsid w:val="004C1289"/>
    <w:rsid w:val="004F493F"/>
    <w:rsid w:val="00521416"/>
    <w:rsid w:val="005332D3"/>
    <w:rsid w:val="00543D5D"/>
    <w:rsid w:val="00571BC0"/>
    <w:rsid w:val="00591FBB"/>
    <w:rsid w:val="005C0B79"/>
    <w:rsid w:val="005C3878"/>
    <w:rsid w:val="005D275E"/>
    <w:rsid w:val="005D50C2"/>
    <w:rsid w:val="0061370E"/>
    <w:rsid w:val="00621694"/>
    <w:rsid w:val="00634C41"/>
    <w:rsid w:val="0065265C"/>
    <w:rsid w:val="00692A6D"/>
    <w:rsid w:val="00694902"/>
    <w:rsid w:val="006C749F"/>
    <w:rsid w:val="006D135F"/>
    <w:rsid w:val="006D3EF2"/>
    <w:rsid w:val="006E6D5A"/>
    <w:rsid w:val="00714462"/>
    <w:rsid w:val="00731CD5"/>
    <w:rsid w:val="007D3DBC"/>
    <w:rsid w:val="007F05BA"/>
    <w:rsid w:val="007F63C1"/>
    <w:rsid w:val="00811A11"/>
    <w:rsid w:val="00854D7B"/>
    <w:rsid w:val="00857F13"/>
    <w:rsid w:val="008A3748"/>
    <w:rsid w:val="008A424C"/>
    <w:rsid w:val="008C5AD6"/>
    <w:rsid w:val="008D4D7C"/>
    <w:rsid w:val="009051DE"/>
    <w:rsid w:val="00913524"/>
    <w:rsid w:val="00947684"/>
    <w:rsid w:val="009503E9"/>
    <w:rsid w:val="00976D55"/>
    <w:rsid w:val="009968A4"/>
    <w:rsid w:val="009B259C"/>
    <w:rsid w:val="009B7796"/>
    <w:rsid w:val="009C561F"/>
    <w:rsid w:val="00A325B0"/>
    <w:rsid w:val="00A4746B"/>
    <w:rsid w:val="00A50DFA"/>
    <w:rsid w:val="00AD3059"/>
    <w:rsid w:val="00AE1AF6"/>
    <w:rsid w:val="00AE6A95"/>
    <w:rsid w:val="00AF2531"/>
    <w:rsid w:val="00B00C16"/>
    <w:rsid w:val="00B02195"/>
    <w:rsid w:val="00B1477D"/>
    <w:rsid w:val="00B33C5B"/>
    <w:rsid w:val="00B6706E"/>
    <w:rsid w:val="00B87347"/>
    <w:rsid w:val="00BD021A"/>
    <w:rsid w:val="00BD56B5"/>
    <w:rsid w:val="00BE22FF"/>
    <w:rsid w:val="00BE2FCC"/>
    <w:rsid w:val="00C17F06"/>
    <w:rsid w:val="00C3059B"/>
    <w:rsid w:val="00C641B3"/>
    <w:rsid w:val="00C70BF2"/>
    <w:rsid w:val="00C7355F"/>
    <w:rsid w:val="00C875C4"/>
    <w:rsid w:val="00C943EF"/>
    <w:rsid w:val="00CB7F97"/>
    <w:rsid w:val="00CD25B4"/>
    <w:rsid w:val="00CE013C"/>
    <w:rsid w:val="00CE7240"/>
    <w:rsid w:val="00CF2872"/>
    <w:rsid w:val="00D04B2A"/>
    <w:rsid w:val="00D06A8D"/>
    <w:rsid w:val="00D40690"/>
    <w:rsid w:val="00D77C8B"/>
    <w:rsid w:val="00D825D1"/>
    <w:rsid w:val="00DC75D6"/>
    <w:rsid w:val="00DE2558"/>
    <w:rsid w:val="00E15FA1"/>
    <w:rsid w:val="00E173DF"/>
    <w:rsid w:val="00E553FD"/>
    <w:rsid w:val="00E90AC9"/>
    <w:rsid w:val="00E94BAD"/>
    <w:rsid w:val="00EE3CEC"/>
    <w:rsid w:val="00F01FA5"/>
    <w:rsid w:val="00F21C63"/>
    <w:rsid w:val="00F41591"/>
    <w:rsid w:val="00F72334"/>
    <w:rsid w:val="00F724FF"/>
    <w:rsid w:val="00F86332"/>
    <w:rsid w:val="00FC4C56"/>
    <w:rsid w:val="00FE6706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E0FF0"/>
  <w15:chartTrackingRefBased/>
  <w15:docId w15:val="{F08C4F90-33BC-4047-9CC8-BF6F6C6D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0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02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0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02BE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0202BE"/>
    <w:pPr>
      <w:spacing w:after="120"/>
    </w:pPr>
  </w:style>
  <w:style w:type="character" w:customStyle="1" w:styleId="a8">
    <w:name w:val="正文文本 字符"/>
    <w:basedOn w:val="a0"/>
    <w:link w:val="a7"/>
    <w:uiPriority w:val="99"/>
    <w:semiHidden/>
    <w:rsid w:val="000202BE"/>
  </w:style>
  <w:style w:type="character" w:styleId="a9">
    <w:name w:val="annotation reference"/>
    <w:qFormat/>
    <w:rsid w:val="00BD021A"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EE3CE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E3CEC"/>
    <w:rPr>
      <w:sz w:val="18"/>
      <w:szCs w:val="18"/>
    </w:rPr>
  </w:style>
  <w:style w:type="paragraph" w:styleId="ac">
    <w:name w:val="List Paragraph"/>
    <w:basedOn w:val="a"/>
    <w:uiPriority w:val="34"/>
    <w:qFormat/>
    <w:rsid w:val="006C749F"/>
    <w:pPr>
      <w:ind w:firstLineChars="200" w:firstLine="420"/>
    </w:pPr>
  </w:style>
  <w:style w:type="paragraph" w:styleId="ad">
    <w:name w:val="annotation text"/>
    <w:basedOn w:val="a"/>
    <w:link w:val="ae"/>
    <w:uiPriority w:val="99"/>
    <w:semiHidden/>
    <w:unhideWhenUsed/>
    <w:rsid w:val="00B6706E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B6706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6706E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B670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35701-E835-4BC2-BEE2-8BB24C361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陈彩霞</dc:creator>
  <cp:keywords/>
  <dc:description/>
  <cp:lastModifiedBy>刘品仪</cp:lastModifiedBy>
  <cp:revision>10</cp:revision>
  <dcterms:created xsi:type="dcterms:W3CDTF">2020-01-13T06:32:00Z</dcterms:created>
  <dcterms:modified xsi:type="dcterms:W3CDTF">2020-04-10T08:13:00Z</dcterms:modified>
</cp:coreProperties>
</file>